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771902273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1510A0" w:rsidRDefault="001510A0" w:rsidP="0005687E"/>
        <w:p w:rsidR="0005687E" w:rsidRPr="00897C0C" w:rsidRDefault="0005687E" w:rsidP="0005687E"/>
        <w:p w:rsidR="0005687E" w:rsidRDefault="00EB4074" w:rsidP="00EB4074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3408862" cy="1068855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8039" cy="1071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id w:val="-1550677470"/>
            <w:docPartObj>
              <w:docPartGallery w:val="Cover Pages"/>
              <w:docPartUnique/>
            </w:docPartObj>
          </w:sdtPr>
          <w:sdtEndPr/>
          <w:sdtContent>
            <w:p w:rsidR="0005687E" w:rsidRDefault="0005687E" w:rsidP="008F1989">
              <w:pPr>
                <w:jc w:val="center"/>
              </w:pPr>
            </w:p>
            <w:p w:rsidR="0005687E" w:rsidRDefault="0005687E" w:rsidP="008F1989">
              <w:pPr>
                <w:jc w:val="center"/>
              </w:pPr>
            </w:p>
            <w:p w:rsidR="00AB60CA" w:rsidRPr="008F1989" w:rsidRDefault="00AB60CA" w:rsidP="008F1989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36"/>
                  <w:szCs w:val="36"/>
                </w:rPr>
              </w:pPr>
              <w:r w:rsidRPr="008F1989">
                <w:rPr>
                  <w:rFonts w:ascii="Arial" w:hAnsi="Arial" w:cs="Arial"/>
                  <w:sz w:val="36"/>
                  <w:szCs w:val="36"/>
                </w:rPr>
                <w:t>Salutem Ltd</w:t>
              </w:r>
            </w:p>
            <w:p w:rsidR="00AB60CA" w:rsidRPr="008F1989" w:rsidRDefault="00AB60CA" w:rsidP="008F1989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36"/>
                  <w:szCs w:val="36"/>
                </w:rPr>
              </w:pPr>
            </w:p>
            <w:p w:rsidR="00AB60CA" w:rsidRPr="008F1989" w:rsidRDefault="00AB60CA" w:rsidP="008F1989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36"/>
                  <w:szCs w:val="36"/>
                </w:rPr>
              </w:pPr>
            </w:p>
            <w:p w:rsidR="00AB60CA" w:rsidRPr="008F1989" w:rsidRDefault="00AB60CA" w:rsidP="008F1989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36"/>
                  <w:szCs w:val="36"/>
                </w:rPr>
              </w:pPr>
              <w:r w:rsidRPr="008F1989">
                <w:rPr>
                  <w:rFonts w:ascii="Arial" w:hAnsi="Arial" w:cs="Arial"/>
                  <w:sz w:val="36"/>
                  <w:szCs w:val="36"/>
                </w:rPr>
                <w:t>Prevent Policy and Action Plan</w:t>
              </w:r>
            </w:p>
            <w:p w:rsidR="00AB60CA" w:rsidRPr="008F1989" w:rsidRDefault="00AB60CA" w:rsidP="008F1989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36"/>
                  <w:szCs w:val="36"/>
                </w:rPr>
              </w:pPr>
            </w:p>
            <w:p w:rsidR="00AB60CA" w:rsidRPr="008F1989" w:rsidRDefault="00AB60CA" w:rsidP="008F1989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36"/>
                  <w:szCs w:val="36"/>
                </w:rPr>
              </w:pPr>
            </w:p>
            <w:p w:rsidR="00AB60CA" w:rsidRPr="008F1989" w:rsidRDefault="00AB60CA" w:rsidP="008F1989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36"/>
                  <w:szCs w:val="36"/>
                </w:rPr>
              </w:pPr>
              <w:r w:rsidRPr="008F1989">
                <w:rPr>
                  <w:rFonts w:ascii="Arial" w:hAnsi="Arial" w:cs="Arial"/>
                  <w:sz w:val="36"/>
                  <w:szCs w:val="36"/>
                </w:rPr>
                <w:t>November 2017</w:t>
              </w:r>
            </w:p>
            <w:p w:rsidR="00AB60CA" w:rsidRPr="008F1989" w:rsidRDefault="00AB60CA" w:rsidP="00C43CF0">
              <w:pPr>
                <w:widowControl w:val="0"/>
                <w:autoSpaceDE w:val="0"/>
                <w:autoSpaceDN w:val="0"/>
                <w:adjustRightInd w:val="0"/>
                <w:rPr>
                  <w:rFonts w:ascii="Arial" w:hAnsi="Arial" w:cs="Arial"/>
                  <w:sz w:val="36"/>
                  <w:szCs w:val="36"/>
                </w:rPr>
              </w:pPr>
            </w:p>
            <w:p w:rsidR="00AB60CA" w:rsidRPr="008F1989" w:rsidRDefault="00AB60CA" w:rsidP="00C43CF0">
              <w:pPr>
                <w:widowControl w:val="0"/>
                <w:autoSpaceDE w:val="0"/>
                <w:autoSpaceDN w:val="0"/>
                <w:adjustRightInd w:val="0"/>
                <w:rPr>
                  <w:rFonts w:ascii="Arial" w:hAnsi="Arial" w:cs="Arial"/>
                  <w:sz w:val="36"/>
                  <w:szCs w:val="36"/>
                </w:rPr>
              </w:pPr>
              <w:r w:rsidRPr="008F1989">
                <w:rPr>
                  <w:rFonts w:ascii="Arial" w:hAnsi="Arial" w:cs="Arial"/>
                  <w:noProof/>
                  <w:sz w:val="36"/>
                  <w:szCs w:val="36"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0B357F1B" wp14:editId="1E59E150">
                        <wp:simplePos x="0" y="0"/>
                        <wp:positionH relativeFrom="column">
                          <wp:posOffset>2136140</wp:posOffset>
                        </wp:positionH>
                        <wp:positionV relativeFrom="paragraph">
                          <wp:posOffset>39370</wp:posOffset>
                        </wp:positionV>
                        <wp:extent cx="1638300" cy="0"/>
                        <wp:effectExtent l="0" t="0" r="19050" b="19050"/>
                        <wp:wrapNone/>
                        <wp:docPr id="2" name="Straight Connector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1638300" cy="0"/>
                                </a:xfrm>
                                <a:prstGeom prst="line">
                                  <a:avLst/>
                                </a:prstGeom>
                                <a:ln cmpd="sng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50BD194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pt,3.1pt" to="297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SP5wEAADMEAAAOAAAAZHJzL2Uyb0RvYy54bWysU02P2yAQvVfqf0DcGztZabWy4uwh0fZS&#10;tVG37Z3FECPBgBgax/++A3acfklVq14QMG/ezHsM28eLs+ysIhoPLV+vas4USN8ZOLX886enNw+c&#10;YRLQCetBtXxUyB93r19th9Coje+97VRkRALYDKHlfUqhqSqUvXICVz4ooKD20YlEx3iquigGYne2&#10;2tT1fTX42IXopUKk28MU5LvCr7WS6YPWqBKzLafeUlljWV/yWu22ojlFEXoj5zbEP3ThhAEqulAd&#10;RBLsazS/UDkjo0ev00p6V3mtjVRFA6lZ1z+pee5FUEULmYNhsQn/H618fz5GZrqWbzgD4eiJnlMU&#10;5tQntvcAZKCPbJN9GgI2BN/DMc4nDMeYRV90dExbE77QCBQbSBi7FJfHxWV1SUzS5fr+7uGupseQ&#10;11g1UWSqEDG9Vd6xvGm5NZANEI04v8NEZQl6heRrC0y6QN0jnAoOvTXdk7E2R8sUqb2N7Czo/dNl&#10;nXUQxQ+ozHcQ2E8gHDEfZqAFwmfhk9SyS6NVU+2PSpN1WdJUOw/trZyQUkG6lrRA6Jymqbklsf5z&#10;4ozPqaoM9N8kLxmlsoe0JDsDPv6u+s0lPeGvDky6swUvvhvLEBRraDKLqfMvyqP//bmk3/767hsA&#10;AAD//wMAUEsDBBQABgAIAAAAIQCL34A12wAAAAcBAAAPAAAAZHJzL2Rvd25yZXYueG1sTI5NT8Mw&#10;EETvSP0P1lbiRp1+EGgap0IgDnAqpXC2420SEa9D7Lahv56FCxyfZjTz8vXgWnHEPjSeFEwnCQik&#10;0tuGKgW718erWxAharK69YQKvjDAuhhd5Dqz/kQveNzGSvAIhUwrqGPsMilDWaPTYeI7JM72vnc6&#10;MvaVtL0+8bhr5SxJUul0Q/xQ6w7vayw/tgen4Ol9unk+3+z2b858ojPmPJTyQanL8XC3AhFxiH9l&#10;+NFndSjYyfgD2SBaBfN5uuCqgnQGgvPr5YLZ/LIscvnfv/gGAAD//wMAUEsBAi0AFAAGAAgAAAAh&#10;ALaDOJL+AAAA4QEAABMAAAAAAAAAAAAAAAAAAAAAAFtDb250ZW50X1R5cGVzXS54bWxQSwECLQAU&#10;AAYACAAAACEAOP0h/9YAAACUAQAACwAAAAAAAAAAAAAAAAAvAQAAX3JlbHMvLnJlbHNQSwECLQAU&#10;AAYACAAAACEA8kLUj+cBAAAzBAAADgAAAAAAAAAAAAAAAAAuAgAAZHJzL2Uyb0RvYy54bWxQSwEC&#10;LQAUAAYACAAAACEAi9+ANdsAAAAHAQAADwAAAAAAAAAAAAAAAABBBAAAZHJzL2Rvd25yZXYueG1s&#10;UEsFBgAAAAAEAAQA8wAAAEkFAAAAAA==&#10;" strokecolor="black [3213]">
                        <v:stroke dashstyle="3 1"/>
                      </v:line>
                    </w:pict>
                  </mc:Fallback>
                </mc:AlternateContent>
              </w:r>
            </w:p>
            <w:p w:rsidR="00AB60CA" w:rsidRPr="008F1989" w:rsidRDefault="00AB60CA" w:rsidP="008F1989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36"/>
                  <w:szCs w:val="36"/>
                </w:rPr>
              </w:pPr>
            </w:p>
            <w:p w:rsidR="00AB60CA" w:rsidRPr="008F1989" w:rsidRDefault="00AB60CA" w:rsidP="008F1989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36"/>
                  <w:szCs w:val="36"/>
                </w:rPr>
              </w:pPr>
              <w:r w:rsidRPr="008F1989">
                <w:rPr>
                  <w:rFonts w:ascii="Arial" w:hAnsi="Arial" w:cs="Arial"/>
                  <w:sz w:val="36"/>
                  <w:szCs w:val="36"/>
                </w:rPr>
                <w:t>Due for review November 2020</w:t>
              </w:r>
            </w:p>
            <w:p w:rsidR="0005687E" w:rsidRDefault="0005687E" w:rsidP="008F1989">
              <w:pPr>
                <w:jc w:val="center"/>
              </w:pPr>
            </w:p>
            <w:p w:rsidR="0005687E" w:rsidRDefault="0005687E" w:rsidP="008F1989">
              <w:pPr>
                <w:jc w:val="center"/>
                <w:rPr>
                  <w:b/>
                  <w:sz w:val="28"/>
                  <w:szCs w:val="28"/>
                </w:rPr>
              </w:pPr>
              <w:r>
                <w:rPr>
                  <w:b/>
                  <w:sz w:val="28"/>
                  <w:szCs w:val="28"/>
                </w:rPr>
                <w:br w:type="page"/>
              </w:r>
            </w:p>
          </w:sdtContent>
        </w:sdt>
        <w:p w:rsidR="00E47E37" w:rsidRPr="00E47E37" w:rsidRDefault="00343A3E" w:rsidP="00E47E37">
          <w:pPr>
            <w:rPr>
              <w:rFonts w:ascii="Arial" w:hAnsi="Arial" w:cs="Arial"/>
              <w:b/>
            </w:rPr>
          </w:pPr>
        </w:p>
      </w:sdtContent>
    </w:sdt>
    <w:p w:rsidR="0005687E" w:rsidRPr="00E47E37" w:rsidRDefault="00E47E37" w:rsidP="00E47E37">
      <w:pPr>
        <w:rPr>
          <w:rFonts w:ascii="Arial" w:hAnsi="Arial" w:cs="Arial"/>
          <w:b/>
          <w:sz w:val="24"/>
          <w:szCs w:val="24"/>
        </w:rPr>
      </w:pPr>
      <w:r w:rsidRPr="00E47E37">
        <w:rPr>
          <w:rFonts w:ascii="Arial" w:hAnsi="Arial" w:cs="Arial"/>
          <w:b/>
          <w:sz w:val="24"/>
          <w:szCs w:val="24"/>
        </w:rPr>
        <w:t>Prevent Policy &amp; Action Plan</w:t>
      </w:r>
    </w:p>
    <w:p w:rsidR="00E47E37" w:rsidRPr="00E47E37" w:rsidRDefault="0005687E" w:rsidP="00E47E37">
      <w:pPr>
        <w:rPr>
          <w:rFonts w:ascii="Arial" w:hAnsi="Arial" w:cs="Arial"/>
        </w:rPr>
      </w:pPr>
      <w:r w:rsidRPr="00E47E37">
        <w:rPr>
          <w:rFonts w:ascii="Arial" w:hAnsi="Arial" w:cs="Arial"/>
          <w:b/>
        </w:rPr>
        <w:t>PURPOSE:</w:t>
      </w:r>
      <w:r w:rsidRPr="00E47E37">
        <w:rPr>
          <w:rFonts w:ascii="Arial" w:hAnsi="Arial" w:cs="Arial"/>
        </w:rPr>
        <w:t xml:space="preserve"> To inform staff of </w:t>
      </w:r>
      <w:r w:rsidR="00E47E37" w:rsidRPr="00E47E37">
        <w:rPr>
          <w:rFonts w:ascii="Arial" w:hAnsi="Arial" w:cs="Arial"/>
        </w:rPr>
        <w:t xml:space="preserve">the </w:t>
      </w:r>
      <w:r w:rsidR="006B7322">
        <w:rPr>
          <w:rFonts w:ascii="Arial" w:hAnsi="Arial" w:cs="Arial"/>
        </w:rPr>
        <w:t>Company</w:t>
      </w:r>
      <w:r w:rsidR="00E47E37" w:rsidRPr="00E47E37">
        <w:rPr>
          <w:rFonts w:ascii="Arial" w:hAnsi="Arial" w:cs="Arial"/>
        </w:rPr>
        <w:t xml:space="preserve"> response to Section 26 of the Counter-Terrorism and Security Act 2015 (the Act)</w:t>
      </w:r>
      <w:r w:rsidR="00E47E37">
        <w:rPr>
          <w:rFonts w:ascii="Arial" w:hAnsi="Arial" w:cs="Arial"/>
        </w:rPr>
        <w:t>,</w:t>
      </w:r>
      <w:r w:rsidR="00E47E37" w:rsidRPr="00E47E37">
        <w:rPr>
          <w:rFonts w:ascii="Arial" w:hAnsi="Arial" w:cs="Arial"/>
        </w:rPr>
        <w:t xml:space="preserve"> which places a duty on</w:t>
      </w:r>
      <w:r w:rsidR="00E47E37">
        <w:rPr>
          <w:rFonts w:ascii="Arial" w:hAnsi="Arial" w:cs="Arial"/>
        </w:rPr>
        <w:t xml:space="preserve"> specified authorities to have ‘</w:t>
      </w:r>
      <w:r w:rsidR="00E47E37" w:rsidRPr="00E47E37">
        <w:rPr>
          <w:rFonts w:ascii="Arial" w:hAnsi="Arial" w:cs="Arial"/>
        </w:rPr>
        <w:t>Due regard, in the exercise of its functions, to the need to prevent people from being drawn into terrorism.</w:t>
      </w:r>
      <w:r w:rsidR="00E47E37">
        <w:rPr>
          <w:rFonts w:ascii="Arial" w:hAnsi="Arial" w:cs="Arial"/>
        </w:rPr>
        <w:t>’</w:t>
      </w:r>
    </w:p>
    <w:p w:rsidR="0005687E" w:rsidRPr="00E47E37" w:rsidRDefault="0005687E" w:rsidP="0005687E">
      <w:pPr>
        <w:rPr>
          <w:rFonts w:ascii="Arial" w:hAnsi="Arial" w:cs="Arial"/>
        </w:rPr>
      </w:pPr>
      <w:r w:rsidRPr="00E47E37">
        <w:rPr>
          <w:rFonts w:ascii="Arial" w:hAnsi="Arial" w:cs="Arial"/>
          <w:b/>
        </w:rPr>
        <w:t>SCOPE:</w:t>
      </w:r>
      <w:r w:rsidRPr="00E47E37">
        <w:rPr>
          <w:rFonts w:ascii="Arial" w:hAnsi="Arial" w:cs="Arial"/>
        </w:rPr>
        <w:t xml:space="preserve"> This policy applies to staff and </w:t>
      </w:r>
      <w:r w:rsidR="006B7322">
        <w:rPr>
          <w:rFonts w:ascii="Arial" w:hAnsi="Arial" w:cs="Arial"/>
        </w:rPr>
        <w:t>learners</w:t>
      </w:r>
      <w:r w:rsidRPr="00E47E37">
        <w:rPr>
          <w:rFonts w:ascii="Arial" w:hAnsi="Arial" w:cs="Arial"/>
        </w:rPr>
        <w:t>.</w:t>
      </w:r>
    </w:p>
    <w:p w:rsidR="0005687E" w:rsidRPr="00E47E37" w:rsidRDefault="0005687E" w:rsidP="0005687E">
      <w:pPr>
        <w:rPr>
          <w:rFonts w:ascii="Arial" w:hAnsi="Arial" w:cs="Arial"/>
        </w:rPr>
      </w:pPr>
      <w:r w:rsidRPr="00E47E37">
        <w:rPr>
          <w:rFonts w:ascii="Arial" w:hAnsi="Arial" w:cs="Arial"/>
          <w:b/>
        </w:rPr>
        <w:t xml:space="preserve">RESPONSIBILITY: </w:t>
      </w:r>
      <w:r w:rsidRPr="00E47E37">
        <w:rPr>
          <w:rFonts w:ascii="Arial" w:hAnsi="Arial" w:cs="Arial"/>
        </w:rPr>
        <w:t xml:space="preserve">The </w:t>
      </w:r>
      <w:r w:rsidR="006B7322">
        <w:rPr>
          <w:rFonts w:ascii="Arial" w:hAnsi="Arial" w:cs="Arial"/>
        </w:rPr>
        <w:t xml:space="preserve">Operations Director is responsible for this policy. </w:t>
      </w:r>
    </w:p>
    <w:p w:rsidR="0005687E" w:rsidRPr="00E47E37" w:rsidRDefault="0005687E" w:rsidP="0005687E">
      <w:pPr>
        <w:rPr>
          <w:rFonts w:ascii="Arial" w:hAnsi="Arial" w:cs="Arial"/>
          <w:b/>
        </w:rPr>
      </w:pPr>
      <w:r w:rsidRPr="00E47E37">
        <w:rPr>
          <w:rFonts w:ascii="Arial" w:hAnsi="Arial" w:cs="Arial"/>
          <w:b/>
        </w:rPr>
        <w:t xml:space="preserve">ADDITIONAL INFORMATION: </w:t>
      </w:r>
      <w:r w:rsidRPr="00E47E37">
        <w:rPr>
          <w:rFonts w:ascii="Arial" w:hAnsi="Arial" w:cs="Arial"/>
        </w:rPr>
        <w:t>N/A</w:t>
      </w:r>
      <w:r w:rsidRPr="00E47E37">
        <w:rPr>
          <w:rFonts w:ascii="Arial" w:hAnsi="Arial" w:cs="Arial"/>
        </w:rPr>
        <w:tab/>
      </w:r>
    </w:p>
    <w:p w:rsidR="00E47E37" w:rsidRPr="00E47E37" w:rsidRDefault="0005687E" w:rsidP="00E47E37">
      <w:pPr>
        <w:rPr>
          <w:rFonts w:ascii="Arial" w:hAnsi="Arial" w:cs="Arial"/>
          <w:b/>
        </w:rPr>
      </w:pPr>
      <w:r w:rsidRPr="00E47E37">
        <w:rPr>
          <w:rFonts w:ascii="Arial" w:hAnsi="Arial" w:cs="Arial"/>
          <w:b/>
        </w:rPr>
        <w:t xml:space="preserve">Policy: </w:t>
      </w:r>
      <w:r w:rsidR="00E47E37" w:rsidRPr="00E47E37">
        <w:rPr>
          <w:rFonts w:ascii="Arial" w:hAnsi="Arial" w:cs="Arial"/>
        </w:rPr>
        <w:t>Prevent Policy &amp; Action Plan</w:t>
      </w:r>
    </w:p>
    <w:p w:rsidR="0005687E" w:rsidRPr="002902DF" w:rsidRDefault="0005687E" w:rsidP="0005687E">
      <w:pPr>
        <w:rPr>
          <w:rFonts w:ascii="Arial" w:hAnsi="Arial" w:cs="Arial"/>
        </w:rPr>
      </w:pPr>
      <w:r w:rsidRPr="00E47E37">
        <w:rPr>
          <w:rFonts w:ascii="Arial" w:hAnsi="Arial" w:cs="Arial"/>
          <w:b/>
        </w:rPr>
        <w:t>Legal Context:</w:t>
      </w:r>
      <w:r w:rsidR="00E47E37">
        <w:rPr>
          <w:rFonts w:ascii="Arial" w:hAnsi="Arial" w:cs="Arial"/>
        </w:rPr>
        <w:t xml:space="preserve"> The Prevent Duty</w:t>
      </w:r>
    </w:p>
    <w:p w:rsidR="002902DF" w:rsidRPr="009133FE" w:rsidRDefault="002902DF" w:rsidP="002902D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A70F9">
        <w:rPr>
          <w:rFonts w:ascii="Arial" w:hAnsi="Arial" w:cs="Arial"/>
          <w:bCs/>
        </w:rPr>
        <w:t>This poli</w:t>
      </w:r>
      <w:r>
        <w:rPr>
          <w:rFonts w:ascii="Arial" w:hAnsi="Arial" w:cs="Arial"/>
          <w:bCs/>
        </w:rPr>
        <w:t xml:space="preserve">cy applies to the training brand known as Salutem </w:t>
      </w:r>
    </w:p>
    <w:p w:rsidR="002902DF" w:rsidRPr="00897C0C" w:rsidRDefault="002902DF" w:rsidP="0005687E"/>
    <w:p w:rsidR="0005687E" w:rsidRDefault="0005687E" w:rsidP="0005687E"/>
    <w:p w:rsidR="0005687E" w:rsidRDefault="0005687E" w:rsidP="0005687E"/>
    <w:p w:rsidR="0005687E" w:rsidRDefault="0005687E" w:rsidP="0005687E">
      <w:pPr>
        <w:rPr>
          <w:rFonts w:cs="Arial"/>
          <w:b/>
        </w:rPr>
      </w:pPr>
    </w:p>
    <w:p w:rsidR="00E47E37" w:rsidRDefault="00E47E37" w:rsidP="00A10C07">
      <w:pPr>
        <w:rPr>
          <w:rFonts w:ascii="Arial" w:hAnsi="Arial" w:cs="Arial"/>
          <w:b/>
          <w:bCs/>
          <w:sz w:val="24"/>
          <w:szCs w:val="24"/>
        </w:rPr>
      </w:pPr>
    </w:p>
    <w:p w:rsidR="00E47E37" w:rsidRDefault="00E47E37" w:rsidP="00A10C07">
      <w:pPr>
        <w:rPr>
          <w:rFonts w:ascii="Arial" w:hAnsi="Arial" w:cs="Arial"/>
          <w:b/>
          <w:bCs/>
          <w:sz w:val="24"/>
          <w:szCs w:val="24"/>
        </w:rPr>
      </w:pPr>
    </w:p>
    <w:p w:rsidR="00E47E37" w:rsidRDefault="00E47E37" w:rsidP="00A10C07">
      <w:pPr>
        <w:rPr>
          <w:rFonts w:ascii="Arial" w:hAnsi="Arial" w:cs="Arial"/>
          <w:b/>
          <w:bCs/>
          <w:sz w:val="24"/>
          <w:szCs w:val="24"/>
        </w:rPr>
      </w:pPr>
    </w:p>
    <w:p w:rsidR="00E47E37" w:rsidRDefault="00E47E37" w:rsidP="00A10C07">
      <w:pPr>
        <w:rPr>
          <w:rFonts w:ascii="Arial" w:hAnsi="Arial" w:cs="Arial"/>
          <w:b/>
          <w:bCs/>
          <w:sz w:val="24"/>
          <w:szCs w:val="24"/>
        </w:rPr>
      </w:pPr>
    </w:p>
    <w:p w:rsidR="00E47E37" w:rsidRDefault="00E47E37" w:rsidP="00A10C07">
      <w:pPr>
        <w:rPr>
          <w:rFonts w:ascii="Arial" w:hAnsi="Arial" w:cs="Arial"/>
          <w:b/>
          <w:bCs/>
          <w:sz w:val="24"/>
          <w:szCs w:val="24"/>
        </w:rPr>
      </w:pPr>
    </w:p>
    <w:p w:rsidR="00E47E37" w:rsidRDefault="00E47E37" w:rsidP="00A10C07">
      <w:pPr>
        <w:rPr>
          <w:rFonts w:ascii="Arial" w:hAnsi="Arial" w:cs="Arial"/>
          <w:b/>
          <w:bCs/>
          <w:sz w:val="24"/>
          <w:szCs w:val="24"/>
        </w:rPr>
      </w:pPr>
    </w:p>
    <w:p w:rsidR="00E47E37" w:rsidRDefault="00E47E37" w:rsidP="00A10C07">
      <w:pPr>
        <w:rPr>
          <w:rFonts w:ascii="Arial" w:hAnsi="Arial" w:cs="Arial"/>
          <w:b/>
          <w:bCs/>
          <w:sz w:val="24"/>
          <w:szCs w:val="24"/>
        </w:rPr>
      </w:pPr>
    </w:p>
    <w:p w:rsidR="00E47E37" w:rsidRDefault="00E47E37" w:rsidP="00A10C07">
      <w:pPr>
        <w:rPr>
          <w:rFonts w:ascii="Arial" w:hAnsi="Arial" w:cs="Arial"/>
          <w:b/>
          <w:bCs/>
          <w:sz w:val="24"/>
          <w:szCs w:val="24"/>
        </w:rPr>
      </w:pPr>
    </w:p>
    <w:p w:rsidR="00E47E37" w:rsidRDefault="00E47E37" w:rsidP="00A10C07">
      <w:pPr>
        <w:rPr>
          <w:rFonts w:ascii="Arial" w:hAnsi="Arial" w:cs="Arial"/>
          <w:b/>
          <w:bCs/>
          <w:sz w:val="24"/>
          <w:szCs w:val="24"/>
        </w:rPr>
      </w:pPr>
    </w:p>
    <w:p w:rsidR="00E47E37" w:rsidRDefault="00E47E37" w:rsidP="00A10C07">
      <w:pPr>
        <w:rPr>
          <w:rFonts w:ascii="Arial" w:hAnsi="Arial" w:cs="Arial"/>
          <w:b/>
          <w:bCs/>
          <w:sz w:val="24"/>
          <w:szCs w:val="24"/>
        </w:rPr>
      </w:pPr>
    </w:p>
    <w:p w:rsidR="00E47E37" w:rsidRDefault="00E47E37" w:rsidP="00A10C07">
      <w:pPr>
        <w:rPr>
          <w:rFonts w:ascii="Arial" w:hAnsi="Arial" w:cs="Arial"/>
          <w:b/>
          <w:bCs/>
          <w:sz w:val="24"/>
          <w:szCs w:val="24"/>
        </w:rPr>
      </w:pPr>
    </w:p>
    <w:p w:rsidR="001510A0" w:rsidRDefault="001510A0" w:rsidP="00A10C07">
      <w:pPr>
        <w:rPr>
          <w:rFonts w:ascii="Arial" w:hAnsi="Arial" w:cs="Arial"/>
          <w:b/>
          <w:bCs/>
          <w:sz w:val="24"/>
          <w:szCs w:val="24"/>
        </w:rPr>
      </w:pPr>
    </w:p>
    <w:p w:rsidR="001510A0" w:rsidRDefault="001510A0" w:rsidP="00A10C07">
      <w:pPr>
        <w:rPr>
          <w:rFonts w:ascii="Arial" w:hAnsi="Arial" w:cs="Arial"/>
          <w:b/>
          <w:bCs/>
          <w:sz w:val="24"/>
          <w:szCs w:val="24"/>
        </w:rPr>
      </w:pPr>
    </w:p>
    <w:p w:rsidR="001510A0" w:rsidRDefault="001510A0" w:rsidP="00A10C07">
      <w:pPr>
        <w:rPr>
          <w:rFonts w:ascii="Arial" w:hAnsi="Arial" w:cs="Arial"/>
          <w:b/>
          <w:bCs/>
          <w:sz w:val="24"/>
          <w:szCs w:val="24"/>
        </w:rPr>
      </w:pPr>
    </w:p>
    <w:p w:rsidR="001510A0" w:rsidRDefault="001510A0" w:rsidP="00A10C07">
      <w:pPr>
        <w:rPr>
          <w:rFonts w:ascii="Arial" w:hAnsi="Arial" w:cs="Arial"/>
          <w:b/>
          <w:bCs/>
          <w:sz w:val="24"/>
          <w:szCs w:val="24"/>
        </w:rPr>
      </w:pPr>
    </w:p>
    <w:p w:rsidR="00B42154" w:rsidRDefault="00CF5729" w:rsidP="00A10C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</w:t>
      </w:r>
      <w:r w:rsidR="00B42154" w:rsidRPr="00885B04">
        <w:rPr>
          <w:rFonts w:ascii="Arial" w:hAnsi="Arial" w:cs="Arial"/>
          <w:b/>
          <w:bCs/>
          <w:sz w:val="24"/>
          <w:szCs w:val="24"/>
        </w:rPr>
        <w:t>y to Prevent Rad</w:t>
      </w:r>
      <w:r w:rsidR="0069391A">
        <w:rPr>
          <w:rFonts w:ascii="Arial" w:hAnsi="Arial" w:cs="Arial"/>
          <w:b/>
          <w:bCs/>
          <w:sz w:val="24"/>
          <w:szCs w:val="24"/>
        </w:rPr>
        <w:t>icalisation &amp; Violent Extremism</w:t>
      </w:r>
    </w:p>
    <w:p w:rsidR="00C175A7" w:rsidRPr="0069391A" w:rsidRDefault="00885B04" w:rsidP="00C175A7">
      <w:pPr>
        <w:rPr>
          <w:rFonts w:ascii="Arial" w:hAnsi="Arial" w:cs="Arial"/>
          <w:b/>
          <w:sz w:val="24"/>
          <w:szCs w:val="24"/>
        </w:rPr>
      </w:pPr>
      <w:r w:rsidRPr="00885B04">
        <w:rPr>
          <w:rFonts w:ascii="Arial" w:hAnsi="Arial" w:cs="Arial"/>
          <w:b/>
          <w:sz w:val="24"/>
          <w:szCs w:val="24"/>
        </w:rPr>
        <w:t>The Prevent Duty</w:t>
      </w:r>
    </w:p>
    <w:p w:rsidR="00885B04" w:rsidRPr="00C175A7" w:rsidRDefault="00C175A7" w:rsidP="00C175A7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bCs/>
        </w:rPr>
      </w:pPr>
      <w:r w:rsidRPr="00C175A7">
        <w:rPr>
          <w:rFonts w:ascii="Arial" w:hAnsi="Arial" w:cs="Arial"/>
          <w:b/>
          <w:bCs/>
        </w:rPr>
        <w:t>Introduction</w:t>
      </w:r>
    </w:p>
    <w:p w:rsidR="00C175A7" w:rsidRPr="00C175A7" w:rsidRDefault="00C175A7" w:rsidP="00C175A7">
      <w:pPr>
        <w:pStyle w:val="ListParagraph"/>
        <w:ind w:left="0" w:hanging="720"/>
        <w:rPr>
          <w:rFonts w:ascii="Arial" w:hAnsi="Arial" w:cs="Arial"/>
          <w:b/>
          <w:bCs/>
        </w:rPr>
      </w:pPr>
    </w:p>
    <w:p w:rsidR="00C175A7" w:rsidRPr="00C175A7" w:rsidRDefault="00342158" w:rsidP="00C175A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13C2">
        <w:rPr>
          <w:rFonts w:ascii="Arial" w:hAnsi="Arial" w:cs="Arial"/>
        </w:rPr>
        <w:t>Section 26</w:t>
      </w:r>
      <w:r w:rsidR="00B42154" w:rsidRPr="00C175A7">
        <w:rPr>
          <w:rFonts w:ascii="Arial" w:hAnsi="Arial" w:cs="Arial"/>
        </w:rPr>
        <w:t xml:space="preserve"> of the Counter-Terrorism and Security Act 2015 (the Act) places a </w:t>
      </w:r>
    </w:p>
    <w:p w:rsidR="00885B04" w:rsidRDefault="00342158" w:rsidP="00C175A7">
      <w:pPr>
        <w:pStyle w:val="ListParagraph"/>
        <w:ind w:left="40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2154" w:rsidRPr="00C175A7">
        <w:rPr>
          <w:rFonts w:ascii="Arial" w:hAnsi="Arial" w:cs="Arial"/>
        </w:rPr>
        <w:t>duty on</w:t>
      </w:r>
      <w:r w:rsidR="00885B04" w:rsidRPr="00C175A7">
        <w:rPr>
          <w:rFonts w:ascii="Arial" w:hAnsi="Arial" w:cs="Arial"/>
        </w:rPr>
        <w:t xml:space="preserve"> specified authorities to have:</w:t>
      </w:r>
    </w:p>
    <w:p w:rsidR="00C175A7" w:rsidRPr="00C175A7" w:rsidRDefault="00C175A7" w:rsidP="00C175A7">
      <w:pPr>
        <w:pStyle w:val="ListParagraph"/>
        <w:ind w:left="405"/>
        <w:rPr>
          <w:rFonts w:ascii="Arial" w:hAnsi="Arial" w:cs="Arial"/>
        </w:rPr>
      </w:pPr>
    </w:p>
    <w:p w:rsidR="00A10C07" w:rsidRPr="00885B04" w:rsidRDefault="00A10C07" w:rsidP="00A10C07">
      <w:pPr>
        <w:ind w:left="720"/>
        <w:rPr>
          <w:rFonts w:ascii="Arial" w:hAnsi="Arial" w:cs="Arial"/>
          <w:i/>
          <w:sz w:val="24"/>
          <w:szCs w:val="24"/>
        </w:rPr>
      </w:pPr>
      <w:r w:rsidRPr="00885B04">
        <w:rPr>
          <w:rFonts w:ascii="Arial" w:hAnsi="Arial" w:cs="Arial"/>
          <w:i/>
          <w:sz w:val="24"/>
          <w:szCs w:val="24"/>
        </w:rPr>
        <w:t>Due regard, in the exercise of its functions, to the need to prevent people from being drawn into terrorism.</w:t>
      </w:r>
    </w:p>
    <w:p w:rsidR="005013C2" w:rsidRPr="006B7322" w:rsidRDefault="006B7322" w:rsidP="006B7322">
      <w:pPr>
        <w:pStyle w:val="ListParagraph"/>
        <w:numPr>
          <w:ilvl w:val="1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Salutem Training</w:t>
      </w:r>
      <w:r w:rsidR="00A10C07" w:rsidRPr="00C175A7">
        <w:rPr>
          <w:rFonts w:ascii="Arial" w:hAnsi="Arial" w:cs="Arial"/>
        </w:rPr>
        <w:t xml:space="preserve"> is a specified authority in re</w:t>
      </w:r>
      <w:r w:rsidR="00342158">
        <w:rPr>
          <w:rFonts w:ascii="Arial" w:hAnsi="Arial" w:cs="Arial"/>
        </w:rPr>
        <w:t xml:space="preserve">spect of its </w:t>
      </w:r>
      <w:r>
        <w:rPr>
          <w:rFonts w:ascii="Arial" w:hAnsi="Arial" w:cs="Arial"/>
        </w:rPr>
        <w:t>training</w:t>
      </w:r>
      <w:r w:rsidR="00A10C07" w:rsidRPr="00342158">
        <w:rPr>
          <w:rFonts w:ascii="Arial" w:hAnsi="Arial" w:cs="Arial"/>
        </w:rPr>
        <w:t xml:space="preserve"> provision. </w:t>
      </w:r>
      <w:r w:rsidR="00C175A7" w:rsidRPr="00342158">
        <w:rPr>
          <w:rFonts w:ascii="Arial" w:hAnsi="Arial" w:cs="Arial"/>
          <w:bCs/>
        </w:rPr>
        <w:t xml:space="preserve">It </w:t>
      </w:r>
      <w:r w:rsidR="00C175A7" w:rsidRPr="00342158">
        <w:rPr>
          <w:rFonts w:ascii="Arial" w:hAnsi="Arial" w:cs="Arial"/>
        </w:rPr>
        <w:t xml:space="preserve">is committed to providing </w:t>
      </w:r>
      <w:r>
        <w:rPr>
          <w:rFonts w:ascii="Arial" w:hAnsi="Arial" w:cs="Arial"/>
        </w:rPr>
        <w:t>learners</w:t>
      </w:r>
      <w:r w:rsidR="00C175A7" w:rsidRPr="00342158">
        <w:rPr>
          <w:rFonts w:ascii="Arial" w:hAnsi="Arial" w:cs="Arial"/>
        </w:rPr>
        <w:t xml:space="preserve"> with the necessary skills and knowledge to ke</w:t>
      </w:r>
      <w:r>
        <w:rPr>
          <w:rFonts w:ascii="Arial" w:hAnsi="Arial" w:cs="Arial"/>
        </w:rPr>
        <w:t>ep themselves and others safe.</w:t>
      </w:r>
    </w:p>
    <w:p w:rsidR="005013C2" w:rsidRDefault="005013C2" w:rsidP="00342158">
      <w:pPr>
        <w:pStyle w:val="ListParagraph"/>
        <w:ind w:left="426"/>
        <w:rPr>
          <w:rFonts w:ascii="Arial" w:hAnsi="Arial" w:cs="Arial"/>
        </w:rPr>
      </w:pPr>
    </w:p>
    <w:p w:rsidR="005013C2" w:rsidRPr="00342158" w:rsidRDefault="005013C2" w:rsidP="005013C2">
      <w:pPr>
        <w:pStyle w:val="ListParagraph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1.3 The Government has defined Extremism in the Prevent strategy as: “vocal or active opposition to fundamental British values, including democracy, </w:t>
      </w:r>
      <w:r w:rsidR="007B1D4A">
        <w:rPr>
          <w:rFonts w:ascii="Arial" w:hAnsi="Arial" w:cs="Arial"/>
        </w:rPr>
        <w:t>the rule of law, indi</w:t>
      </w:r>
      <w:r>
        <w:rPr>
          <w:rFonts w:ascii="Arial" w:hAnsi="Arial" w:cs="Arial"/>
        </w:rPr>
        <w:t xml:space="preserve">vidual </w:t>
      </w:r>
      <w:r w:rsidR="007B1D4A">
        <w:rPr>
          <w:rFonts w:ascii="Arial" w:hAnsi="Arial" w:cs="Arial"/>
        </w:rPr>
        <w:t>liberty and mutual respect and tolerance of different faith and beliefs. We also include in our definition of extremism calls for the death of members of our armed forces”.</w:t>
      </w:r>
    </w:p>
    <w:p w:rsidR="00C175A7" w:rsidRPr="00C175A7" w:rsidRDefault="00C175A7" w:rsidP="00C175A7">
      <w:pPr>
        <w:rPr>
          <w:rFonts w:ascii="Arial" w:hAnsi="Arial" w:cs="Arial"/>
          <w:b/>
          <w:sz w:val="24"/>
          <w:szCs w:val="24"/>
        </w:rPr>
      </w:pPr>
    </w:p>
    <w:p w:rsidR="00C175A7" w:rsidRPr="00C175A7" w:rsidRDefault="00C175A7" w:rsidP="00C175A7">
      <w:pPr>
        <w:rPr>
          <w:rFonts w:ascii="Arial" w:hAnsi="Arial" w:cs="Arial"/>
          <w:b/>
          <w:bCs/>
          <w:sz w:val="24"/>
          <w:szCs w:val="24"/>
        </w:rPr>
      </w:pPr>
      <w:r w:rsidRPr="00C175A7">
        <w:rPr>
          <w:rFonts w:ascii="Arial" w:hAnsi="Arial" w:cs="Arial"/>
          <w:b/>
          <w:bCs/>
          <w:sz w:val="24"/>
          <w:szCs w:val="24"/>
        </w:rPr>
        <w:t>2. Context</w:t>
      </w:r>
    </w:p>
    <w:p w:rsidR="00C175A7" w:rsidRPr="00C175A7" w:rsidRDefault="00C175A7" w:rsidP="00C17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15401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 xml:space="preserve">    </w:t>
      </w:r>
      <w:r w:rsidRPr="00C175A7">
        <w:rPr>
          <w:rFonts w:ascii="Arial" w:hAnsi="Arial" w:cs="Arial"/>
          <w:sz w:val="24"/>
          <w:szCs w:val="24"/>
        </w:rPr>
        <w:t>The aim of this strategy is to:</w:t>
      </w:r>
    </w:p>
    <w:p w:rsidR="00C175A7" w:rsidRPr="00C175A7" w:rsidRDefault="00C175A7" w:rsidP="00C175A7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C175A7">
        <w:rPr>
          <w:rFonts w:ascii="Arial" w:hAnsi="Arial" w:cs="Arial"/>
        </w:rPr>
        <w:t xml:space="preserve">Develop an awareness of Prevent in the </w:t>
      </w:r>
      <w:r w:rsidR="006B7322">
        <w:rPr>
          <w:rFonts w:ascii="Arial" w:hAnsi="Arial" w:cs="Arial"/>
        </w:rPr>
        <w:t>Company</w:t>
      </w:r>
    </w:p>
    <w:p w:rsidR="00C175A7" w:rsidRPr="00105E75" w:rsidRDefault="00C175A7" w:rsidP="00C175A7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105E75">
        <w:rPr>
          <w:rFonts w:ascii="Arial" w:hAnsi="Arial" w:cs="Arial"/>
        </w:rPr>
        <w:t>Recognise current practice which contributes to the Prevent agenda</w:t>
      </w:r>
    </w:p>
    <w:p w:rsidR="00C175A7" w:rsidRPr="00C175A7" w:rsidRDefault="00C175A7" w:rsidP="00C175A7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C175A7">
        <w:rPr>
          <w:rFonts w:ascii="Arial" w:hAnsi="Arial" w:cs="Arial"/>
        </w:rPr>
        <w:t>Identify areas for improvement</w:t>
      </w:r>
    </w:p>
    <w:p w:rsidR="0069391A" w:rsidRDefault="00C175A7" w:rsidP="0069391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C175A7">
        <w:rPr>
          <w:rFonts w:ascii="Arial" w:hAnsi="Arial" w:cs="Arial"/>
        </w:rPr>
        <w:t xml:space="preserve">Develop </w:t>
      </w:r>
      <w:r w:rsidR="00CF5729">
        <w:rPr>
          <w:rFonts w:ascii="Arial" w:hAnsi="Arial" w:cs="Arial"/>
        </w:rPr>
        <w:t xml:space="preserve">and deliver </w:t>
      </w:r>
      <w:r w:rsidRPr="00C175A7">
        <w:rPr>
          <w:rFonts w:ascii="Arial" w:hAnsi="Arial" w:cs="Arial"/>
        </w:rPr>
        <w:t>a coordinated action plan</w:t>
      </w:r>
    </w:p>
    <w:p w:rsidR="006B7322" w:rsidRDefault="006B7322" w:rsidP="006B7322">
      <w:pPr>
        <w:pStyle w:val="ListParagraph"/>
        <w:spacing w:after="200" w:line="276" w:lineRule="auto"/>
        <w:contextualSpacing/>
        <w:rPr>
          <w:rFonts w:ascii="Arial" w:hAnsi="Arial" w:cs="Arial"/>
        </w:rPr>
      </w:pPr>
    </w:p>
    <w:p w:rsidR="00715401" w:rsidRDefault="00715401" w:rsidP="00715401">
      <w:pPr>
        <w:pStyle w:val="ListParagraph"/>
        <w:numPr>
          <w:ilvl w:val="2"/>
          <w:numId w:val="11"/>
        </w:numPr>
        <w:ind w:left="709" w:right="851"/>
        <w:rPr>
          <w:rFonts w:ascii="Arial" w:hAnsi="Arial" w:cs="Arial"/>
        </w:rPr>
      </w:pPr>
      <w:r w:rsidRPr="00715401">
        <w:rPr>
          <w:rFonts w:ascii="Arial" w:hAnsi="Arial" w:cs="Arial"/>
        </w:rPr>
        <w:t xml:space="preserve">Protection from Extremism and Radicalisation is referred to in our          Safeguarding Young People &amp; Vulnerable Adults policy. All staff are trained and regularly updated on safeguarding, associated professional practice, conduct and the referral process. However, </w:t>
      </w:r>
      <w:r w:rsidR="006B7322">
        <w:rPr>
          <w:rFonts w:ascii="Arial" w:hAnsi="Arial" w:cs="Arial"/>
        </w:rPr>
        <w:t>we recognise</w:t>
      </w:r>
      <w:r w:rsidRPr="00715401">
        <w:rPr>
          <w:rFonts w:ascii="Arial" w:hAnsi="Arial" w:cs="Arial"/>
        </w:rPr>
        <w:t xml:space="preserve"> that additional training and development for staff and </w:t>
      </w:r>
      <w:r w:rsidR="006B7322">
        <w:rPr>
          <w:rFonts w:ascii="Arial" w:hAnsi="Arial" w:cs="Arial"/>
        </w:rPr>
        <w:t>learners</w:t>
      </w:r>
      <w:r w:rsidRPr="00715401">
        <w:rPr>
          <w:rFonts w:ascii="Arial" w:hAnsi="Arial" w:cs="Arial"/>
        </w:rPr>
        <w:t xml:space="preserve"> is necessary and the distinction made so that the strategy does not become diluted.</w:t>
      </w:r>
    </w:p>
    <w:p w:rsidR="00AA4A98" w:rsidRDefault="00AA4A98" w:rsidP="00AA4A98">
      <w:pPr>
        <w:pStyle w:val="ListParagraph"/>
        <w:ind w:left="709" w:right="851"/>
        <w:rPr>
          <w:rFonts w:ascii="Arial" w:hAnsi="Arial" w:cs="Arial"/>
        </w:rPr>
      </w:pPr>
    </w:p>
    <w:p w:rsidR="00715401" w:rsidRPr="00AA4A98" w:rsidRDefault="00715401" w:rsidP="008F1989">
      <w:pPr>
        <w:pStyle w:val="ListParagraph"/>
        <w:numPr>
          <w:ilvl w:val="2"/>
          <w:numId w:val="11"/>
        </w:numPr>
        <w:tabs>
          <w:tab w:val="left" w:pos="426"/>
        </w:tabs>
        <w:ind w:left="709" w:right="851"/>
        <w:rPr>
          <w:rFonts w:ascii="Arial" w:hAnsi="Arial" w:cs="Arial"/>
        </w:rPr>
      </w:pPr>
      <w:r w:rsidRPr="00AA4A98">
        <w:rPr>
          <w:rFonts w:ascii="Arial" w:hAnsi="Arial" w:cs="Arial"/>
        </w:rPr>
        <w:t xml:space="preserve">Whilst Protection from Extremism and Radicalisation sits within the wider context of safeguarding and is referred to within the </w:t>
      </w:r>
      <w:r w:rsidR="006B7322" w:rsidRPr="00AA4A98">
        <w:rPr>
          <w:rFonts w:ascii="Arial" w:hAnsi="Arial" w:cs="Arial"/>
        </w:rPr>
        <w:t>Company</w:t>
      </w:r>
      <w:r w:rsidRPr="00AA4A98">
        <w:rPr>
          <w:rFonts w:ascii="Arial" w:hAnsi="Arial" w:cs="Arial"/>
        </w:rPr>
        <w:t xml:space="preserve"> Safeguarding Policy and procedures, it is also integral to other policies, such as The Equality Policy and Health and Safety and is integral to the </w:t>
      </w:r>
      <w:r w:rsidR="006B7322" w:rsidRPr="00AA4A98">
        <w:rPr>
          <w:rFonts w:ascii="Arial" w:hAnsi="Arial" w:cs="Arial"/>
        </w:rPr>
        <w:t>Company</w:t>
      </w:r>
      <w:r w:rsidRPr="00AA4A98">
        <w:rPr>
          <w:rFonts w:ascii="Arial" w:hAnsi="Arial" w:cs="Arial"/>
        </w:rPr>
        <w:t>’s vision and values.</w:t>
      </w:r>
    </w:p>
    <w:p w:rsidR="00715401" w:rsidRPr="00731035" w:rsidRDefault="00715401" w:rsidP="008F1989">
      <w:pPr>
        <w:pStyle w:val="ListParagraph"/>
        <w:tabs>
          <w:tab w:val="left" w:pos="567"/>
        </w:tabs>
        <w:ind w:left="1440"/>
        <w:rPr>
          <w:rFonts w:ascii="Arial" w:hAnsi="Arial" w:cs="Arial"/>
        </w:rPr>
      </w:pPr>
    </w:p>
    <w:p w:rsidR="00715401" w:rsidRPr="00715401" w:rsidRDefault="00715401" w:rsidP="008F1989">
      <w:pPr>
        <w:pStyle w:val="ListParagraph"/>
        <w:numPr>
          <w:ilvl w:val="2"/>
          <w:numId w:val="11"/>
        </w:numPr>
        <w:tabs>
          <w:tab w:val="left" w:pos="567"/>
        </w:tabs>
        <w:ind w:left="426" w:hanging="284"/>
        <w:rPr>
          <w:rFonts w:ascii="Arial" w:hAnsi="Arial" w:cs="Arial"/>
        </w:rPr>
      </w:pPr>
      <w:r w:rsidRPr="00715401">
        <w:rPr>
          <w:rFonts w:ascii="Arial" w:hAnsi="Arial" w:cs="Arial"/>
        </w:rPr>
        <w:t xml:space="preserve">Issues related to radicalisation are included in safeguarding reports to the </w:t>
      </w:r>
    </w:p>
    <w:p w:rsidR="00EC51BA" w:rsidRPr="00AA4A98" w:rsidRDefault="00715401" w:rsidP="008F1989">
      <w:pPr>
        <w:tabs>
          <w:tab w:val="left" w:pos="567"/>
        </w:tabs>
        <w:ind w:left="709"/>
        <w:rPr>
          <w:rFonts w:ascii="Arial" w:hAnsi="Arial" w:cs="Arial"/>
          <w:sz w:val="24"/>
          <w:szCs w:val="24"/>
        </w:rPr>
      </w:pPr>
      <w:r w:rsidRPr="007B0375">
        <w:rPr>
          <w:rFonts w:ascii="Arial" w:hAnsi="Arial" w:cs="Arial"/>
          <w:sz w:val="24"/>
          <w:szCs w:val="24"/>
        </w:rPr>
        <w:t>Corporation.</w:t>
      </w:r>
    </w:p>
    <w:p w:rsidR="0073393C" w:rsidRDefault="0073393C" w:rsidP="0073393C">
      <w:pPr>
        <w:pStyle w:val="ListParagraph"/>
        <w:numPr>
          <w:ilvl w:val="0"/>
          <w:numId w:val="8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Risk Assessments</w:t>
      </w:r>
    </w:p>
    <w:p w:rsidR="0073393C" w:rsidRDefault="0073393C" w:rsidP="0073393C">
      <w:pPr>
        <w:pStyle w:val="ListParagraph"/>
        <w:ind w:left="284"/>
        <w:rPr>
          <w:rFonts w:ascii="Arial" w:hAnsi="Arial" w:cs="Arial"/>
          <w:b/>
          <w:bCs/>
        </w:rPr>
      </w:pPr>
    </w:p>
    <w:p w:rsidR="0073393C" w:rsidRPr="0073393C" w:rsidRDefault="00AA4A98" w:rsidP="006C3DED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Salutem</w:t>
      </w:r>
      <w:r w:rsidR="0073393C" w:rsidRPr="0073393C">
        <w:rPr>
          <w:rFonts w:ascii="Arial" w:hAnsi="Arial" w:cs="Arial"/>
          <w:sz w:val="24"/>
          <w:szCs w:val="24"/>
        </w:rPr>
        <w:t xml:space="preserve"> will establish clear policies and risk assessments of where and how </w:t>
      </w:r>
      <w:r w:rsidR="006B7322">
        <w:rPr>
          <w:rFonts w:ascii="Arial" w:hAnsi="Arial" w:cs="Arial"/>
          <w:sz w:val="24"/>
          <w:szCs w:val="24"/>
        </w:rPr>
        <w:t>learners</w:t>
      </w:r>
      <w:r w:rsidR="0073393C" w:rsidRPr="0073393C">
        <w:rPr>
          <w:rFonts w:ascii="Arial" w:hAnsi="Arial" w:cs="Arial"/>
          <w:sz w:val="24"/>
          <w:szCs w:val="24"/>
        </w:rPr>
        <w:t xml:space="preserve"> might be at risk of being drawn into terrorism (including violent </w:t>
      </w:r>
      <w:r w:rsidR="0073393C" w:rsidRPr="0073393C">
        <w:rPr>
          <w:rFonts w:ascii="Arial" w:hAnsi="Arial" w:cs="Arial"/>
          <w:i/>
          <w:sz w:val="24"/>
          <w:szCs w:val="24"/>
        </w:rPr>
        <w:t>and</w:t>
      </w:r>
      <w:r w:rsidR="0073393C" w:rsidRPr="0073393C">
        <w:rPr>
          <w:rFonts w:ascii="Arial" w:hAnsi="Arial" w:cs="Arial"/>
          <w:sz w:val="24"/>
          <w:szCs w:val="24"/>
        </w:rPr>
        <w:t xml:space="preserve"> non-violent extremism). The assessment will include policies regarding </w:t>
      </w:r>
      <w:r w:rsidR="006B7322">
        <w:rPr>
          <w:rFonts w:ascii="Arial" w:hAnsi="Arial" w:cs="Arial"/>
          <w:sz w:val="24"/>
          <w:szCs w:val="24"/>
        </w:rPr>
        <w:t>learner</w:t>
      </w:r>
      <w:r w:rsidR="0073393C" w:rsidRPr="0073393C">
        <w:rPr>
          <w:rFonts w:ascii="Arial" w:hAnsi="Arial" w:cs="Arial"/>
          <w:sz w:val="24"/>
          <w:szCs w:val="24"/>
        </w:rPr>
        <w:t xml:space="preserve"> welfare and safety, equality and diversity and the physical management of the estate, including events for or led by external visitors.</w:t>
      </w:r>
    </w:p>
    <w:p w:rsidR="0073393C" w:rsidRPr="0073393C" w:rsidRDefault="0073393C" w:rsidP="0073393C">
      <w:pPr>
        <w:pStyle w:val="ListParagraph"/>
        <w:ind w:left="284"/>
        <w:rPr>
          <w:rFonts w:ascii="Arial" w:hAnsi="Arial" w:cs="Arial"/>
          <w:b/>
          <w:bCs/>
        </w:rPr>
      </w:pPr>
    </w:p>
    <w:p w:rsidR="0069391A" w:rsidRPr="007B0375" w:rsidRDefault="00AA4A98" w:rsidP="007B03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105E75">
        <w:rPr>
          <w:rFonts w:ascii="Arial" w:hAnsi="Arial" w:cs="Arial"/>
          <w:b/>
          <w:sz w:val="24"/>
          <w:szCs w:val="24"/>
        </w:rPr>
        <w:t xml:space="preserve">  </w:t>
      </w:r>
      <w:r w:rsidR="0069391A" w:rsidRPr="00731035">
        <w:rPr>
          <w:rFonts w:ascii="Arial" w:hAnsi="Arial" w:cs="Arial"/>
          <w:b/>
          <w:sz w:val="24"/>
          <w:szCs w:val="24"/>
        </w:rPr>
        <w:t>Staff</w:t>
      </w:r>
    </w:p>
    <w:p w:rsidR="0069391A" w:rsidRPr="00731035" w:rsidRDefault="00AA4A98" w:rsidP="00E246C9">
      <w:pPr>
        <w:spacing w:line="24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9391A" w:rsidRPr="00C86717">
        <w:rPr>
          <w:rFonts w:ascii="Arial" w:hAnsi="Arial" w:cs="Arial"/>
          <w:sz w:val="24"/>
          <w:szCs w:val="24"/>
        </w:rPr>
        <w:t>.</w:t>
      </w:r>
      <w:r w:rsidR="007575A8">
        <w:rPr>
          <w:rFonts w:ascii="Arial" w:hAnsi="Arial" w:cs="Arial"/>
          <w:sz w:val="24"/>
          <w:szCs w:val="24"/>
        </w:rPr>
        <w:t>1</w:t>
      </w:r>
      <w:r w:rsidR="0069391A" w:rsidRPr="00C86717">
        <w:rPr>
          <w:rFonts w:ascii="Arial" w:hAnsi="Arial" w:cs="Arial"/>
          <w:sz w:val="24"/>
          <w:szCs w:val="24"/>
        </w:rPr>
        <w:tab/>
        <w:t>All staff receive awareness training on an on-going basis</w:t>
      </w:r>
      <w:r w:rsidR="00105E75" w:rsidRPr="00C86717">
        <w:rPr>
          <w:rFonts w:ascii="Arial" w:hAnsi="Arial" w:cs="Arial"/>
          <w:sz w:val="24"/>
          <w:szCs w:val="24"/>
        </w:rPr>
        <w:t xml:space="preserve"> to</w:t>
      </w:r>
      <w:r w:rsidR="00105E75" w:rsidRPr="00885B04">
        <w:rPr>
          <w:rFonts w:ascii="Arial" w:hAnsi="Arial" w:cs="Arial"/>
          <w:sz w:val="24"/>
          <w:szCs w:val="24"/>
        </w:rPr>
        <w:t xml:space="preserve"> ensure </w:t>
      </w:r>
      <w:r w:rsidR="00105E75">
        <w:rPr>
          <w:rFonts w:ascii="Arial" w:hAnsi="Arial" w:cs="Arial"/>
          <w:sz w:val="24"/>
          <w:szCs w:val="24"/>
        </w:rPr>
        <w:t xml:space="preserve">they </w:t>
      </w:r>
      <w:proofErr w:type="gramStart"/>
      <w:r w:rsidR="00105E75" w:rsidRPr="00885B04">
        <w:rPr>
          <w:rFonts w:ascii="Arial" w:hAnsi="Arial" w:cs="Arial"/>
          <w:sz w:val="24"/>
          <w:szCs w:val="24"/>
        </w:rPr>
        <w:t>have an understanding of</w:t>
      </w:r>
      <w:proofErr w:type="gramEnd"/>
      <w:r w:rsidR="00105E75" w:rsidRPr="00885B04">
        <w:rPr>
          <w:rFonts w:ascii="Arial" w:hAnsi="Arial" w:cs="Arial"/>
          <w:sz w:val="24"/>
          <w:szCs w:val="24"/>
        </w:rPr>
        <w:t xml:space="preserve"> the factors that make people support terrorist ideologies or engage in terrorist activity and to recognise vulnerability to being drawn into terrorism.   </w:t>
      </w:r>
    </w:p>
    <w:p w:rsidR="0069391A" w:rsidRPr="00EC51BA" w:rsidRDefault="00AA4A98" w:rsidP="00E246C9">
      <w:pPr>
        <w:spacing w:line="24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9391A" w:rsidRPr="00731035">
        <w:rPr>
          <w:rFonts w:ascii="Arial" w:hAnsi="Arial" w:cs="Arial"/>
          <w:sz w:val="24"/>
          <w:szCs w:val="24"/>
        </w:rPr>
        <w:t>.</w:t>
      </w:r>
      <w:r w:rsidR="007575A8">
        <w:rPr>
          <w:rFonts w:ascii="Arial" w:hAnsi="Arial" w:cs="Arial"/>
          <w:sz w:val="24"/>
          <w:szCs w:val="24"/>
        </w:rPr>
        <w:t>2</w:t>
      </w:r>
      <w:r w:rsidR="0069391A" w:rsidRPr="00731035">
        <w:rPr>
          <w:rFonts w:ascii="Arial" w:hAnsi="Arial" w:cs="Arial"/>
          <w:sz w:val="24"/>
          <w:szCs w:val="24"/>
        </w:rPr>
        <w:t xml:space="preserve"> </w:t>
      </w:r>
      <w:r w:rsidR="0069391A" w:rsidRPr="00731035">
        <w:rPr>
          <w:rFonts w:ascii="Arial" w:hAnsi="Arial" w:cs="Arial"/>
          <w:sz w:val="24"/>
          <w:szCs w:val="24"/>
        </w:rPr>
        <w:tab/>
        <w:t xml:space="preserve">All staff are responsible for responding appropriately to </w:t>
      </w:r>
      <w:r w:rsidR="006B7322">
        <w:rPr>
          <w:rFonts w:ascii="Arial" w:hAnsi="Arial" w:cs="Arial"/>
          <w:sz w:val="24"/>
          <w:szCs w:val="24"/>
        </w:rPr>
        <w:t>learners</w:t>
      </w:r>
      <w:r w:rsidR="0069391A" w:rsidRPr="00731035">
        <w:rPr>
          <w:rFonts w:ascii="Arial" w:hAnsi="Arial" w:cs="Arial"/>
          <w:sz w:val="24"/>
          <w:szCs w:val="24"/>
        </w:rPr>
        <w:t xml:space="preserve"> with challenging and inappropriate behaviour.  Staff will be supported and use the skills required to challenge appropriately, as part of this strategy.</w:t>
      </w:r>
    </w:p>
    <w:p w:rsidR="0069391A" w:rsidRPr="00731035" w:rsidRDefault="00AA4A98" w:rsidP="007B0375">
      <w:pPr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105E75">
        <w:rPr>
          <w:rFonts w:ascii="Arial" w:hAnsi="Arial" w:cs="Arial"/>
          <w:b/>
          <w:sz w:val="24"/>
          <w:szCs w:val="24"/>
        </w:rPr>
        <w:t xml:space="preserve">  </w:t>
      </w:r>
      <w:r w:rsidR="006B7322">
        <w:rPr>
          <w:rFonts w:ascii="Arial" w:hAnsi="Arial" w:cs="Arial"/>
          <w:b/>
          <w:sz w:val="24"/>
          <w:szCs w:val="24"/>
        </w:rPr>
        <w:t>Learners</w:t>
      </w:r>
    </w:p>
    <w:p w:rsidR="0069391A" w:rsidRDefault="00AA4A98" w:rsidP="00E246C9">
      <w:pPr>
        <w:spacing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9391A" w:rsidRPr="00731035">
        <w:rPr>
          <w:rFonts w:ascii="Arial" w:hAnsi="Arial" w:cs="Arial"/>
          <w:sz w:val="24"/>
          <w:szCs w:val="24"/>
        </w:rPr>
        <w:t>.1</w:t>
      </w:r>
      <w:r w:rsidR="0069391A" w:rsidRPr="00731035">
        <w:rPr>
          <w:rFonts w:ascii="Arial" w:hAnsi="Arial" w:cs="Arial"/>
          <w:sz w:val="24"/>
          <w:szCs w:val="24"/>
        </w:rPr>
        <w:tab/>
      </w:r>
      <w:r w:rsidR="007575A8">
        <w:rPr>
          <w:rFonts w:ascii="Arial" w:hAnsi="Arial" w:cs="Arial"/>
          <w:sz w:val="24"/>
          <w:szCs w:val="24"/>
        </w:rPr>
        <w:t xml:space="preserve">All learners </w:t>
      </w:r>
      <w:r w:rsidR="0069391A" w:rsidRPr="00731035">
        <w:rPr>
          <w:rFonts w:ascii="Arial" w:hAnsi="Arial" w:cs="Arial"/>
          <w:sz w:val="24"/>
          <w:szCs w:val="24"/>
        </w:rPr>
        <w:t xml:space="preserve">receive training </w:t>
      </w:r>
      <w:proofErr w:type="gramStart"/>
      <w:r w:rsidR="0069391A" w:rsidRPr="00731035">
        <w:rPr>
          <w:rFonts w:ascii="Arial" w:hAnsi="Arial" w:cs="Arial"/>
          <w:sz w:val="24"/>
          <w:szCs w:val="24"/>
        </w:rPr>
        <w:t>in order to</w:t>
      </w:r>
      <w:proofErr w:type="gramEnd"/>
      <w:r w:rsidR="0069391A" w:rsidRPr="00731035">
        <w:rPr>
          <w:rFonts w:ascii="Arial" w:hAnsi="Arial" w:cs="Arial"/>
          <w:sz w:val="24"/>
          <w:szCs w:val="24"/>
        </w:rPr>
        <w:t xml:space="preserve"> raise </w:t>
      </w:r>
      <w:r w:rsidR="00105E75">
        <w:rPr>
          <w:rFonts w:ascii="Arial" w:hAnsi="Arial" w:cs="Arial"/>
          <w:sz w:val="24"/>
          <w:szCs w:val="24"/>
        </w:rPr>
        <w:t xml:space="preserve">awareness and contribute </w:t>
      </w:r>
      <w:r w:rsidR="00105E75" w:rsidRPr="00105E75">
        <w:rPr>
          <w:rFonts w:ascii="Arial" w:hAnsi="Arial" w:cs="Arial"/>
          <w:sz w:val="24"/>
          <w:szCs w:val="24"/>
        </w:rPr>
        <w:t xml:space="preserve">to </w:t>
      </w:r>
      <w:r w:rsidR="00105E75" w:rsidRPr="00105E75">
        <w:rPr>
          <w:rFonts w:ascii="Arial" w:hAnsi="Arial" w:cs="Arial"/>
          <w:bCs/>
          <w:sz w:val="24"/>
          <w:szCs w:val="24"/>
        </w:rPr>
        <w:t>Preventing Radicalisation &amp; Violent Extremism</w:t>
      </w:r>
    </w:p>
    <w:p w:rsidR="00105E75" w:rsidRDefault="00AA4A98" w:rsidP="00E246C9">
      <w:pPr>
        <w:spacing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C9096D">
        <w:rPr>
          <w:rFonts w:ascii="Arial" w:hAnsi="Arial" w:cs="Arial"/>
          <w:bCs/>
          <w:sz w:val="24"/>
          <w:szCs w:val="24"/>
        </w:rPr>
        <w:t xml:space="preserve">.2   </w:t>
      </w:r>
      <w:r w:rsidR="006B7322">
        <w:rPr>
          <w:rFonts w:ascii="Arial" w:hAnsi="Arial" w:cs="Arial"/>
          <w:bCs/>
          <w:sz w:val="24"/>
          <w:szCs w:val="24"/>
        </w:rPr>
        <w:t>Learners</w:t>
      </w:r>
      <w:r w:rsidR="00105E75">
        <w:rPr>
          <w:rFonts w:ascii="Arial" w:hAnsi="Arial" w:cs="Arial"/>
          <w:bCs/>
          <w:sz w:val="24"/>
          <w:szCs w:val="24"/>
        </w:rPr>
        <w:t xml:space="preserve"> are made aware, through tutorial discussion, so they:</w:t>
      </w:r>
    </w:p>
    <w:p w:rsidR="00105E75" w:rsidRDefault="00105E75" w:rsidP="00E246C9">
      <w:pPr>
        <w:pStyle w:val="ListParagraph"/>
        <w:numPr>
          <w:ilvl w:val="0"/>
          <w:numId w:val="10"/>
        </w:num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>are informed about the current risks associated with radicalisation and extremism</w:t>
      </w:r>
    </w:p>
    <w:p w:rsidR="00105E75" w:rsidRDefault="00105E75" w:rsidP="00E246C9">
      <w:pPr>
        <w:pStyle w:val="ListParagraph"/>
        <w:numPr>
          <w:ilvl w:val="0"/>
          <w:numId w:val="10"/>
        </w:num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made aware of extremist groups and how that affects us </w:t>
      </w:r>
    </w:p>
    <w:p w:rsidR="00105E75" w:rsidRDefault="00105E75" w:rsidP="00E246C9">
      <w:pPr>
        <w:pStyle w:val="ListParagraph"/>
        <w:numPr>
          <w:ilvl w:val="0"/>
          <w:numId w:val="10"/>
        </w:num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develop awareness of how young people are groomed and persuaded to join or take part in extreme action </w:t>
      </w:r>
    </w:p>
    <w:p w:rsidR="00105E75" w:rsidRDefault="00105E75" w:rsidP="00E246C9">
      <w:pPr>
        <w:pStyle w:val="ListParagraph"/>
        <w:numPr>
          <w:ilvl w:val="0"/>
          <w:numId w:val="10"/>
        </w:num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>have increased awareness of the government’s ‘Prevent’ agenda and work including how C</w:t>
      </w:r>
      <w:r w:rsidR="00C9096D">
        <w:rPr>
          <w:rFonts w:ascii="Arial" w:hAnsi="Arial" w:cs="Arial"/>
        </w:rPr>
        <w:t>TU officers respond to a concern</w:t>
      </w:r>
    </w:p>
    <w:p w:rsidR="00296065" w:rsidRDefault="00AA4A98" w:rsidP="00296065">
      <w:pPr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C3DED" w:rsidRPr="00296065">
        <w:rPr>
          <w:rFonts w:ascii="Arial" w:hAnsi="Arial" w:cs="Arial"/>
          <w:sz w:val="24"/>
          <w:szCs w:val="24"/>
        </w:rPr>
        <w:t xml:space="preserve">.3 Welfare and pastoral care are readily available for all </w:t>
      </w:r>
      <w:r w:rsidR="006B7322">
        <w:rPr>
          <w:rFonts w:ascii="Arial" w:hAnsi="Arial" w:cs="Arial"/>
          <w:sz w:val="24"/>
          <w:szCs w:val="24"/>
        </w:rPr>
        <w:t>learners</w:t>
      </w:r>
      <w:r w:rsidR="006C3DED" w:rsidRPr="002960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3DED" w:rsidRPr="00296065">
        <w:rPr>
          <w:rFonts w:ascii="Arial" w:hAnsi="Arial" w:cs="Arial"/>
          <w:sz w:val="24"/>
          <w:szCs w:val="24"/>
        </w:rPr>
        <w:t>in particular 16</w:t>
      </w:r>
      <w:proofErr w:type="gramEnd"/>
      <w:r w:rsidR="006C3DED" w:rsidRPr="00296065">
        <w:rPr>
          <w:rFonts w:ascii="Arial" w:hAnsi="Arial" w:cs="Arial"/>
          <w:sz w:val="24"/>
          <w:szCs w:val="24"/>
        </w:rPr>
        <w:t xml:space="preserve"> –</w:t>
      </w:r>
      <w:r w:rsidR="00296065">
        <w:rPr>
          <w:rFonts w:ascii="Arial" w:hAnsi="Arial" w:cs="Arial"/>
          <w:sz w:val="24"/>
          <w:szCs w:val="24"/>
        </w:rPr>
        <w:t xml:space="preserve"> 18</w:t>
      </w:r>
    </w:p>
    <w:p w:rsidR="00296065" w:rsidRDefault="00296065" w:rsidP="00296065">
      <w:pPr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and vulnerable adults and are </w:t>
      </w:r>
      <w:r w:rsidR="006C3DED" w:rsidRPr="002960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C3DED" w:rsidRPr="00296065">
        <w:rPr>
          <w:rFonts w:ascii="Arial" w:hAnsi="Arial" w:cs="Arial"/>
          <w:sz w:val="24"/>
          <w:szCs w:val="24"/>
        </w:rPr>
        <w:t xml:space="preserve">key element of the </w:t>
      </w:r>
      <w:r w:rsidR="006B7322">
        <w:rPr>
          <w:rFonts w:ascii="Arial" w:hAnsi="Arial" w:cs="Arial"/>
          <w:sz w:val="24"/>
          <w:szCs w:val="24"/>
        </w:rPr>
        <w:t>Company</w:t>
      </w:r>
      <w:r w:rsidR="006C3DED" w:rsidRPr="00296065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>commitment to the</w:t>
      </w:r>
    </w:p>
    <w:p w:rsidR="006C3DED" w:rsidRDefault="00296065" w:rsidP="00296065">
      <w:pPr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Prevent Duty.</w:t>
      </w:r>
    </w:p>
    <w:p w:rsidR="004A31E0" w:rsidRDefault="004A31E0" w:rsidP="00296065">
      <w:pPr>
        <w:ind w:left="567" w:hanging="567"/>
        <w:contextualSpacing/>
        <w:rPr>
          <w:rFonts w:ascii="Arial" w:hAnsi="Arial" w:cs="Arial"/>
          <w:sz w:val="24"/>
          <w:szCs w:val="24"/>
        </w:rPr>
      </w:pPr>
    </w:p>
    <w:p w:rsidR="00B938BE" w:rsidRPr="000F7750" w:rsidRDefault="00AA4A98" w:rsidP="00296065">
      <w:pPr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938BE" w:rsidRPr="000F7750">
        <w:rPr>
          <w:rFonts w:ascii="Arial" w:hAnsi="Arial" w:cs="Arial"/>
          <w:b/>
          <w:sz w:val="24"/>
          <w:szCs w:val="24"/>
        </w:rPr>
        <w:t>. Online Safety</w:t>
      </w:r>
    </w:p>
    <w:p w:rsidR="00B938BE" w:rsidRPr="000F7750" w:rsidRDefault="00B938BE" w:rsidP="00296065">
      <w:pPr>
        <w:ind w:left="567" w:hanging="567"/>
        <w:contextualSpacing/>
        <w:rPr>
          <w:rFonts w:ascii="Arial" w:hAnsi="Arial" w:cs="Arial"/>
          <w:sz w:val="24"/>
          <w:szCs w:val="24"/>
        </w:rPr>
      </w:pPr>
    </w:p>
    <w:p w:rsidR="00390AA3" w:rsidRDefault="00B938BE" w:rsidP="00C257F9">
      <w:pPr>
        <w:ind w:left="426"/>
        <w:contextualSpacing/>
        <w:rPr>
          <w:rFonts w:ascii="Arial" w:hAnsi="Arial" w:cs="Arial"/>
          <w:sz w:val="24"/>
          <w:szCs w:val="24"/>
        </w:rPr>
      </w:pPr>
      <w:r w:rsidRPr="000F7750">
        <w:rPr>
          <w:rFonts w:ascii="Arial" w:hAnsi="Arial" w:cs="Arial"/>
          <w:sz w:val="24"/>
          <w:szCs w:val="24"/>
        </w:rPr>
        <w:t xml:space="preserve">The </w:t>
      </w:r>
      <w:r w:rsidR="006B7322">
        <w:rPr>
          <w:rFonts w:ascii="Arial" w:hAnsi="Arial" w:cs="Arial"/>
          <w:sz w:val="24"/>
          <w:szCs w:val="24"/>
        </w:rPr>
        <w:t>Company</w:t>
      </w:r>
      <w:r w:rsidRPr="000F7750">
        <w:rPr>
          <w:rFonts w:ascii="Arial" w:hAnsi="Arial" w:cs="Arial"/>
          <w:sz w:val="24"/>
          <w:szCs w:val="24"/>
        </w:rPr>
        <w:t xml:space="preserve"> recognises its responsibility to ensure safe access to online information. The </w:t>
      </w:r>
      <w:r w:rsidR="006B7322">
        <w:rPr>
          <w:rFonts w:ascii="Arial" w:hAnsi="Arial" w:cs="Arial"/>
          <w:sz w:val="24"/>
          <w:szCs w:val="24"/>
        </w:rPr>
        <w:t>Company</w:t>
      </w:r>
      <w:r w:rsidRPr="000F7750">
        <w:rPr>
          <w:rFonts w:ascii="Arial" w:hAnsi="Arial" w:cs="Arial"/>
          <w:sz w:val="24"/>
          <w:szCs w:val="24"/>
        </w:rPr>
        <w:t xml:space="preserve"> will regularly review its policies and practices in relation to IT and internet access, </w:t>
      </w:r>
      <w:proofErr w:type="gramStart"/>
      <w:r w:rsidRPr="000F7750">
        <w:rPr>
          <w:rFonts w:ascii="Arial" w:hAnsi="Arial" w:cs="Arial"/>
          <w:sz w:val="24"/>
          <w:szCs w:val="24"/>
        </w:rPr>
        <w:t>in particular to</w:t>
      </w:r>
      <w:proofErr w:type="gramEnd"/>
      <w:r w:rsidRPr="000F7750">
        <w:rPr>
          <w:rFonts w:ascii="Arial" w:hAnsi="Arial" w:cs="Arial"/>
          <w:sz w:val="24"/>
          <w:szCs w:val="24"/>
        </w:rPr>
        <w:t xml:space="preserve"> social media, to ensure appropriate levels of filtering.</w:t>
      </w:r>
    </w:p>
    <w:p w:rsidR="00C257F9" w:rsidRDefault="00C257F9" w:rsidP="00C257F9">
      <w:pPr>
        <w:ind w:left="426"/>
        <w:contextualSpacing/>
        <w:rPr>
          <w:rFonts w:ascii="Arial" w:hAnsi="Arial" w:cs="Arial"/>
          <w:sz w:val="24"/>
          <w:szCs w:val="24"/>
        </w:rPr>
      </w:pPr>
    </w:p>
    <w:sectPr w:rsidR="00C257F9" w:rsidSect="00720802">
      <w:pgSz w:w="11906" w:h="16838"/>
      <w:pgMar w:top="992" w:right="1276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97B" w:rsidRDefault="001A597B" w:rsidP="001A597B">
      <w:pPr>
        <w:spacing w:after="0" w:line="240" w:lineRule="auto"/>
      </w:pPr>
      <w:r>
        <w:separator/>
      </w:r>
    </w:p>
  </w:endnote>
  <w:endnote w:type="continuationSeparator" w:id="0">
    <w:p w:rsidR="001A597B" w:rsidRDefault="001A597B" w:rsidP="001A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97B" w:rsidRDefault="001A597B" w:rsidP="001A597B">
      <w:pPr>
        <w:spacing w:after="0" w:line="240" w:lineRule="auto"/>
      </w:pPr>
      <w:r>
        <w:separator/>
      </w:r>
    </w:p>
  </w:footnote>
  <w:footnote w:type="continuationSeparator" w:id="0">
    <w:p w:rsidR="001A597B" w:rsidRDefault="001A597B" w:rsidP="001A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4F7"/>
    <w:multiLevelType w:val="hybridMultilevel"/>
    <w:tmpl w:val="64C8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5354"/>
    <w:multiLevelType w:val="multilevel"/>
    <w:tmpl w:val="01709C0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FC7FD4"/>
    <w:multiLevelType w:val="hybridMultilevel"/>
    <w:tmpl w:val="820EE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3A53"/>
    <w:multiLevelType w:val="hybridMultilevel"/>
    <w:tmpl w:val="7928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9A8"/>
    <w:multiLevelType w:val="hybridMultilevel"/>
    <w:tmpl w:val="69AC67E0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 w15:restartNumberingAfterBreak="0">
    <w:nsid w:val="21FC7E57"/>
    <w:multiLevelType w:val="multilevel"/>
    <w:tmpl w:val="5CBAB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F96121"/>
    <w:multiLevelType w:val="multilevel"/>
    <w:tmpl w:val="EA4AA7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896D91"/>
    <w:multiLevelType w:val="hybridMultilevel"/>
    <w:tmpl w:val="1F38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1318"/>
    <w:multiLevelType w:val="hybridMultilevel"/>
    <w:tmpl w:val="77F6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B30"/>
    <w:multiLevelType w:val="hybridMultilevel"/>
    <w:tmpl w:val="13E8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60DAA"/>
    <w:multiLevelType w:val="multilevel"/>
    <w:tmpl w:val="489AC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hint="default"/>
        <w:b w:val="0"/>
        <w:sz w:val="24"/>
      </w:rPr>
    </w:lvl>
  </w:abstractNum>
  <w:abstractNum w:abstractNumId="11" w15:restartNumberingAfterBreak="0">
    <w:nsid w:val="3C7810F6"/>
    <w:multiLevelType w:val="hybridMultilevel"/>
    <w:tmpl w:val="C79C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B66E8"/>
    <w:multiLevelType w:val="hybridMultilevel"/>
    <w:tmpl w:val="591C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A487A"/>
    <w:multiLevelType w:val="multilevel"/>
    <w:tmpl w:val="54A467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571634"/>
    <w:multiLevelType w:val="hybridMultilevel"/>
    <w:tmpl w:val="15DA96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801A3"/>
    <w:multiLevelType w:val="hybridMultilevel"/>
    <w:tmpl w:val="E1B4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138B1"/>
    <w:multiLevelType w:val="hybridMultilevel"/>
    <w:tmpl w:val="2D2E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B00D6"/>
    <w:multiLevelType w:val="hybridMultilevel"/>
    <w:tmpl w:val="A28EA6E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1E305CB"/>
    <w:multiLevelType w:val="hybridMultilevel"/>
    <w:tmpl w:val="C4A0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06A49"/>
    <w:multiLevelType w:val="hybridMultilevel"/>
    <w:tmpl w:val="6B62E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12140"/>
    <w:multiLevelType w:val="hybridMultilevel"/>
    <w:tmpl w:val="B486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B3B9D"/>
    <w:multiLevelType w:val="hybridMultilevel"/>
    <w:tmpl w:val="88BC0A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22A29"/>
    <w:multiLevelType w:val="hybridMultilevel"/>
    <w:tmpl w:val="0EEC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F65C2"/>
    <w:multiLevelType w:val="hybridMultilevel"/>
    <w:tmpl w:val="15EE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23C97"/>
    <w:multiLevelType w:val="hybridMultilevel"/>
    <w:tmpl w:val="7D5C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15A3C"/>
    <w:multiLevelType w:val="hybridMultilevel"/>
    <w:tmpl w:val="FB60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"/>
  </w:num>
  <w:num w:numId="12">
    <w:abstractNumId w:val="7"/>
  </w:num>
  <w:num w:numId="13">
    <w:abstractNumId w:val="15"/>
  </w:num>
  <w:num w:numId="14">
    <w:abstractNumId w:val="22"/>
  </w:num>
  <w:num w:numId="15">
    <w:abstractNumId w:val="23"/>
  </w:num>
  <w:num w:numId="16">
    <w:abstractNumId w:val="12"/>
  </w:num>
  <w:num w:numId="17">
    <w:abstractNumId w:val="16"/>
  </w:num>
  <w:num w:numId="18">
    <w:abstractNumId w:val="2"/>
  </w:num>
  <w:num w:numId="19">
    <w:abstractNumId w:val="20"/>
  </w:num>
  <w:num w:numId="20">
    <w:abstractNumId w:val="4"/>
  </w:num>
  <w:num w:numId="21">
    <w:abstractNumId w:val="8"/>
  </w:num>
  <w:num w:numId="22">
    <w:abstractNumId w:val="3"/>
  </w:num>
  <w:num w:numId="23">
    <w:abstractNumId w:val="24"/>
  </w:num>
  <w:num w:numId="24">
    <w:abstractNumId w:val="9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D1"/>
    <w:rsid w:val="000368DA"/>
    <w:rsid w:val="0005687E"/>
    <w:rsid w:val="0008494D"/>
    <w:rsid w:val="000F7750"/>
    <w:rsid w:val="00105E75"/>
    <w:rsid w:val="001101D1"/>
    <w:rsid w:val="001510A0"/>
    <w:rsid w:val="00173C24"/>
    <w:rsid w:val="00187677"/>
    <w:rsid w:val="001A597B"/>
    <w:rsid w:val="001C5655"/>
    <w:rsid w:val="002902DF"/>
    <w:rsid w:val="00296065"/>
    <w:rsid w:val="002F5340"/>
    <w:rsid w:val="00306AE0"/>
    <w:rsid w:val="00342158"/>
    <w:rsid w:val="00343A3E"/>
    <w:rsid w:val="00390AA3"/>
    <w:rsid w:val="003A0384"/>
    <w:rsid w:val="00441550"/>
    <w:rsid w:val="004A31E0"/>
    <w:rsid w:val="004A73D4"/>
    <w:rsid w:val="005013C2"/>
    <w:rsid w:val="00534876"/>
    <w:rsid w:val="00594D3C"/>
    <w:rsid w:val="0069391A"/>
    <w:rsid w:val="006B0347"/>
    <w:rsid w:val="006B2AB8"/>
    <w:rsid w:val="006B7322"/>
    <w:rsid w:val="006C3DED"/>
    <w:rsid w:val="006E788A"/>
    <w:rsid w:val="0070364E"/>
    <w:rsid w:val="007063A2"/>
    <w:rsid w:val="00715401"/>
    <w:rsid w:val="00720802"/>
    <w:rsid w:val="007273A1"/>
    <w:rsid w:val="00731035"/>
    <w:rsid w:val="0073393C"/>
    <w:rsid w:val="007575A8"/>
    <w:rsid w:val="007B0375"/>
    <w:rsid w:val="007B1D4A"/>
    <w:rsid w:val="00834B1F"/>
    <w:rsid w:val="00885B04"/>
    <w:rsid w:val="008B0DCE"/>
    <w:rsid w:val="008B3B02"/>
    <w:rsid w:val="008F1989"/>
    <w:rsid w:val="0091371B"/>
    <w:rsid w:val="00946F17"/>
    <w:rsid w:val="009F36D1"/>
    <w:rsid w:val="00A10C07"/>
    <w:rsid w:val="00A1119C"/>
    <w:rsid w:val="00A11448"/>
    <w:rsid w:val="00A5417F"/>
    <w:rsid w:val="00A978FA"/>
    <w:rsid w:val="00AA0140"/>
    <w:rsid w:val="00AA4A98"/>
    <w:rsid w:val="00AB60CA"/>
    <w:rsid w:val="00AC5E3E"/>
    <w:rsid w:val="00B3471B"/>
    <w:rsid w:val="00B42154"/>
    <w:rsid w:val="00B938BE"/>
    <w:rsid w:val="00BA68C6"/>
    <w:rsid w:val="00BD3EBD"/>
    <w:rsid w:val="00C018E8"/>
    <w:rsid w:val="00C15289"/>
    <w:rsid w:val="00C175A7"/>
    <w:rsid w:val="00C257F9"/>
    <w:rsid w:val="00C26B6E"/>
    <w:rsid w:val="00C43CF0"/>
    <w:rsid w:val="00C72E5B"/>
    <w:rsid w:val="00C86717"/>
    <w:rsid w:val="00C9096D"/>
    <w:rsid w:val="00CE37B6"/>
    <w:rsid w:val="00CF5729"/>
    <w:rsid w:val="00DE53D1"/>
    <w:rsid w:val="00E246C9"/>
    <w:rsid w:val="00E47E37"/>
    <w:rsid w:val="00E754C9"/>
    <w:rsid w:val="00EB1BDF"/>
    <w:rsid w:val="00EB4074"/>
    <w:rsid w:val="00EB7DA7"/>
    <w:rsid w:val="00EC51BA"/>
    <w:rsid w:val="00ED2BBC"/>
    <w:rsid w:val="00F93B11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5681496-DD1C-45F6-B271-E7F04DF7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C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A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Normal"/>
    <w:rsid w:val="007B037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7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EF79-6052-49B4-B510-41197C11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College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hilaryb</dc:creator>
  <cp:lastModifiedBy>Gemma Kemp</cp:lastModifiedBy>
  <cp:revision>2</cp:revision>
  <cp:lastPrinted>2017-11-22T15:42:00Z</cp:lastPrinted>
  <dcterms:created xsi:type="dcterms:W3CDTF">2019-09-26T12:50:00Z</dcterms:created>
  <dcterms:modified xsi:type="dcterms:W3CDTF">2019-09-26T12:50:00Z</dcterms:modified>
</cp:coreProperties>
</file>